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9" w:rsidRDefault="00B24EE9" w:rsidP="00B2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курса Деньги, кредит, банки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Базовая информация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курса: </w:t>
      </w:r>
      <w:r>
        <w:rPr>
          <w:rFonts w:ascii="Times New Roman" w:hAnsi="Times New Roman" w:cs="Times New Roman"/>
          <w:sz w:val="24"/>
          <w:szCs w:val="24"/>
        </w:rPr>
        <w:t>Деньги, кредит, банки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курса:</w:t>
      </w:r>
      <w:r w:rsidR="00E8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DE">
        <w:rPr>
          <w:rFonts w:ascii="Times New Roman" w:hAnsi="Times New Roman" w:cs="Times New Roman"/>
          <w:b/>
          <w:sz w:val="24"/>
          <w:szCs w:val="24"/>
          <w:lang w:val="en-US"/>
        </w:rPr>
        <w:t>FINA</w:t>
      </w:r>
      <w:r w:rsidR="00E806DE" w:rsidRPr="00E806DE">
        <w:rPr>
          <w:rFonts w:ascii="Times New Roman" w:hAnsi="Times New Roman" w:cs="Times New Roman"/>
          <w:b/>
          <w:sz w:val="24"/>
          <w:szCs w:val="24"/>
        </w:rPr>
        <w:t xml:space="preserve"> 217</w:t>
      </w:r>
      <w:r w:rsidR="008F0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курса: </w:t>
      </w:r>
      <w:r>
        <w:rPr>
          <w:rFonts w:ascii="Times New Roman" w:hAnsi="Times New Roman" w:cs="Times New Roman"/>
          <w:sz w:val="24"/>
          <w:szCs w:val="24"/>
        </w:rPr>
        <w:t>обязателен для студентов, обучающихся по направлению «Экономика»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Цикл: </w:t>
      </w:r>
      <w:r w:rsidRPr="00DB38D2">
        <w:rPr>
          <w:rFonts w:ascii="Times New Roman" w:hAnsi="Times New Roman" w:cs="Times New Roman"/>
          <w:sz w:val="24"/>
          <w:szCs w:val="24"/>
        </w:rPr>
        <w:t>Экономика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обучения: </w:t>
      </w:r>
      <w:r>
        <w:rPr>
          <w:rFonts w:ascii="Times New Roman" w:hAnsi="Times New Roman" w:cs="Times New Roman"/>
          <w:sz w:val="24"/>
          <w:szCs w:val="24"/>
        </w:rPr>
        <w:t>третий год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sz w:val="24"/>
          <w:szCs w:val="24"/>
        </w:rPr>
        <w:t>пятый семестр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и фамилия лектора: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.э.н. Абыкеева Мээрим Абдылдабековна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abykeeva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meerim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</w:rPr>
        <w:t>: русский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B24EE9" w:rsidRDefault="00B24EE9" w:rsidP="00B2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успешно завершивший курс должен: </w:t>
      </w:r>
    </w:p>
    <w:p w:rsidR="00B24EE9" w:rsidRPr="00DB38D2" w:rsidRDefault="00B24EE9" w:rsidP="00B24EE9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proofErr w:type="gramStart"/>
      <w:r>
        <w:rPr>
          <w:rFonts w:eastAsia="TimesNewRoman"/>
          <w:sz w:val="24"/>
          <w:szCs w:val="24"/>
        </w:rPr>
        <w:t>Понимать основные теории и концепции развития денежного рынка и ссудного процента, путем систематизации знаний о кредитной и банковской системах;</w:t>
      </w:r>
      <w:proofErr w:type="gramEnd"/>
    </w:p>
    <w:p w:rsidR="00B24EE9" w:rsidRPr="00DB38D2" w:rsidRDefault="00B24EE9" w:rsidP="00B24EE9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Осознать значимость финансовой системы в обеспечении эффективного функционирования экономики в целом;</w:t>
      </w:r>
    </w:p>
    <w:p w:rsidR="00B24EE9" w:rsidRPr="00DB38D2" w:rsidRDefault="00B24EE9" w:rsidP="00B24EE9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Быть </w:t>
      </w:r>
      <w:proofErr w:type="gramStart"/>
      <w:r>
        <w:rPr>
          <w:rFonts w:eastAsia="TimesNewRoman"/>
          <w:sz w:val="24"/>
          <w:szCs w:val="24"/>
        </w:rPr>
        <w:t>способен</w:t>
      </w:r>
      <w:proofErr w:type="gramEnd"/>
      <w:r>
        <w:rPr>
          <w:rFonts w:eastAsia="TimesNewRoman"/>
          <w:sz w:val="24"/>
          <w:szCs w:val="24"/>
        </w:rPr>
        <w:t xml:space="preserve"> собрать и проанализировать исходные данные, характеризующие состояние денежной, банковской и кредитной систем;</w:t>
      </w:r>
    </w:p>
    <w:p w:rsidR="00B24EE9" w:rsidRPr="00E773C1" w:rsidRDefault="00B24EE9" w:rsidP="00B24EE9">
      <w:pPr>
        <w:pStyle w:val="a7"/>
        <w:numPr>
          <w:ilvl w:val="0"/>
          <w:numId w:val="2"/>
        </w:numPr>
        <w:jc w:val="both"/>
        <w:rPr>
          <w:rFonts w:eastAsia="TimesNewRoman"/>
          <w:sz w:val="24"/>
          <w:szCs w:val="24"/>
        </w:rPr>
      </w:pPr>
      <w:r w:rsidRPr="00E773C1">
        <w:rPr>
          <w:rFonts w:eastAsia="TimesNewRoman"/>
          <w:sz w:val="24"/>
          <w:szCs w:val="24"/>
        </w:rPr>
        <w:t xml:space="preserve">Быть </w:t>
      </w:r>
      <w:proofErr w:type="gramStart"/>
      <w:r w:rsidRPr="00E773C1">
        <w:rPr>
          <w:rFonts w:eastAsia="TimesNewRoman"/>
          <w:sz w:val="24"/>
          <w:szCs w:val="24"/>
        </w:rPr>
        <w:t>способен</w:t>
      </w:r>
      <w:proofErr w:type="gramEnd"/>
      <w:r w:rsidRPr="00E773C1">
        <w:rPr>
          <w:rFonts w:eastAsia="TimesNewRoman"/>
          <w:sz w:val="24"/>
          <w:szCs w:val="24"/>
        </w:rPr>
        <w:t xml:space="preserve"> критически оценивать на основе сравнительного анализа охарактеризовать состояние и перспективы развития денежно-кредитной системы КР;</w:t>
      </w:r>
    </w:p>
    <w:p w:rsidR="00B24EE9" w:rsidRPr="00E773C1" w:rsidRDefault="00B24EE9" w:rsidP="00B24EE9">
      <w:pPr>
        <w:pStyle w:val="a7"/>
        <w:numPr>
          <w:ilvl w:val="0"/>
          <w:numId w:val="2"/>
        </w:numPr>
        <w:jc w:val="both"/>
        <w:rPr>
          <w:rFonts w:eastAsia="TimesNewRoman"/>
          <w:sz w:val="24"/>
          <w:szCs w:val="24"/>
        </w:rPr>
      </w:pPr>
      <w:r w:rsidRPr="00E773C1">
        <w:rPr>
          <w:rFonts w:eastAsia="TimesNewRoman"/>
          <w:sz w:val="24"/>
          <w:szCs w:val="24"/>
        </w:rPr>
        <w:t xml:space="preserve">Быть </w:t>
      </w:r>
      <w:proofErr w:type="gramStart"/>
      <w:r w:rsidRPr="00E773C1">
        <w:rPr>
          <w:rFonts w:eastAsia="TimesNewRoman"/>
          <w:sz w:val="24"/>
          <w:szCs w:val="24"/>
        </w:rPr>
        <w:t>способен</w:t>
      </w:r>
      <w:proofErr w:type="gramEnd"/>
      <w:r w:rsidRPr="00E773C1">
        <w:rPr>
          <w:rFonts w:eastAsia="TimesNewRoman"/>
          <w:sz w:val="24"/>
          <w:szCs w:val="24"/>
        </w:rPr>
        <w:t xml:space="preserve"> рассчитать показатели характеризующие состояние финансового рынка</w:t>
      </w:r>
      <w:r>
        <w:rPr>
          <w:rFonts w:eastAsia="TimesNewRoman"/>
          <w:sz w:val="24"/>
          <w:szCs w:val="24"/>
        </w:rPr>
        <w:t>.</w:t>
      </w:r>
    </w:p>
    <w:p w:rsidR="00B24EE9" w:rsidRDefault="00B24EE9" w:rsidP="00B24EE9">
      <w:pPr>
        <w:spacing w:line="240" w:lineRule="auto"/>
        <w:ind w:left="36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773C1">
        <w:rPr>
          <w:rFonts w:ascii="Times New Roman" w:eastAsia="TimesNewRoman" w:hAnsi="Times New Roman" w:cs="Times New Roman"/>
          <w:b/>
          <w:sz w:val="24"/>
          <w:szCs w:val="24"/>
        </w:rPr>
        <w:t>Содержание курса:</w:t>
      </w:r>
    </w:p>
    <w:p w:rsidR="00B24EE9" w:rsidRPr="00E773C1" w:rsidRDefault="00B24EE9" w:rsidP="00B24EE9">
      <w:pPr>
        <w:spacing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7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E773C1">
        <w:rPr>
          <w:rFonts w:ascii="Times New Roman" w:hAnsi="Times New Roman" w:cs="Times New Roman"/>
          <w:sz w:val="24"/>
          <w:szCs w:val="24"/>
        </w:rPr>
        <w:t>данной дисциплины является комплексное изучение денежно-кредитных отношений для того, чтобы понять сложные процессы становления, развития и современного состояния денежно-кредитной системы, ее роли в экономической жизни общества, формирование у будущих специалистов фундаментальных теоретических знаний и практических навыков по денежному обращению, кредиту и банкам.</w:t>
      </w:r>
    </w:p>
    <w:p w:rsidR="00B24EE9" w:rsidRPr="00E773C1" w:rsidRDefault="00B24EE9" w:rsidP="00B24E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C1">
        <w:rPr>
          <w:rFonts w:ascii="Times New Roman" w:hAnsi="Times New Roman" w:cs="Times New Roman"/>
          <w:sz w:val="24"/>
          <w:szCs w:val="24"/>
        </w:rPr>
        <w:t xml:space="preserve">Поставленная цель определяет ряд </w:t>
      </w:r>
      <w:r w:rsidRPr="00E7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E773C1">
        <w:rPr>
          <w:rFonts w:ascii="Times New Roman" w:hAnsi="Times New Roman" w:cs="Times New Roman"/>
          <w:sz w:val="24"/>
          <w:szCs w:val="24"/>
        </w:rPr>
        <w:t>: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изучение законов денежного обращения и денежного оборота, кредита и банковской системы;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анализ эволюции и современного состояния денежных, валютных и кредитных систем;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изучение роли денег и кредита в регулировании макроэкономических процессов;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формирование у студентов представления о методах и роли центрального коммерческих банков в достижении экономического равновесия и темпов его роста, обуздания инфляции и сокращении безработицы.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привитие навыков систематизации статистических материалов для проведения анализа и прогнозирования экономических явлений, происходящих в стране.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овладение механизмами реализации денежно – кредитной и валютной политики государства.</w:t>
      </w:r>
    </w:p>
    <w:p w:rsidR="00B24EE9" w:rsidRPr="00E773C1" w:rsidRDefault="00B24EE9" w:rsidP="00B24EE9">
      <w:pPr>
        <w:pStyle w:val="a7"/>
        <w:widowControl/>
        <w:numPr>
          <w:ilvl w:val="0"/>
          <w:numId w:val="3"/>
        </w:numPr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E773C1">
        <w:rPr>
          <w:sz w:val="24"/>
          <w:szCs w:val="24"/>
        </w:rPr>
        <w:t>разъяснение необходимости теоретических знаний для приобретения глубоких знаний при изучении прикладных финансово – кредитных дисциплин.</w:t>
      </w:r>
    </w:p>
    <w:p w:rsidR="00B24EE9" w:rsidRPr="00E773C1" w:rsidRDefault="00B24EE9" w:rsidP="00B24EE9">
      <w:pPr>
        <w:pStyle w:val="a4"/>
        <w:shd w:val="clear" w:color="auto" w:fill="FFFFFF"/>
        <w:spacing w:before="0" w:beforeAutospacing="0" w:after="0" w:afterAutospacing="0"/>
        <w:jc w:val="both"/>
      </w:pPr>
    </w:p>
    <w:p w:rsidR="00B24EE9" w:rsidRDefault="00B24EE9" w:rsidP="00B24EE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Дополнительные сведения</w:t>
      </w:r>
    </w:p>
    <w:p w:rsidR="00B24EE9" w:rsidRDefault="00B24EE9" w:rsidP="00B24E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Предпосылки и другие реквизиты, необходимые для продолжения обучения: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данного курса студентам необходимы знания следующих курсов:</w:t>
      </w:r>
    </w:p>
    <w:p w:rsidR="00B24EE9" w:rsidRDefault="00B24EE9" w:rsidP="00B24E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«Экономическая теория», </w:t>
      </w:r>
    </w:p>
    <w:p w:rsidR="00B24EE9" w:rsidRDefault="00B24EE9" w:rsidP="00B24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«Теория денег и кредита»,</w:t>
      </w:r>
    </w:p>
    <w:p w:rsidR="00B24EE9" w:rsidRDefault="00B24EE9" w:rsidP="00B24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«Микроэкономика»,</w:t>
      </w:r>
    </w:p>
    <w:p w:rsidR="00B24EE9" w:rsidRDefault="00B24EE9" w:rsidP="00B24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«Макроэкономика»,</w:t>
      </w:r>
    </w:p>
    <w:p w:rsidR="00B24EE9" w:rsidRDefault="00B24EE9" w:rsidP="00B24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«Статистика».</w:t>
      </w:r>
    </w:p>
    <w:p w:rsidR="00B24EE9" w:rsidRDefault="00B24EE9" w:rsidP="00B24EE9">
      <w:pPr>
        <w:pStyle w:val="a5"/>
        <w:rPr>
          <w:b w:val="0"/>
          <w:i w:val="0"/>
          <w:szCs w:val="24"/>
        </w:rPr>
      </w:pPr>
      <w:r>
        <w:rPr>
          <w:i w:val="0"/>
          <w:szCs w:val="24"/>
        </w:rPr>
        <w:t xml:space="preserve">Форма обучения: </w:t>
      </w:r>
      <w:r>
        <w:rPr>
          <w:b w:val="0"/>
          <w:i w:val="0"/>
          <w:szCs w:val="24"/>
        </w:rPr>
        <w:t>Посещаемость занятий студентами обязательна и</w:t>
      </w:r>
      <w:bookmarkStart w:id="0" w:name="_GoBack"/>
      <w:bookmarkEnd w:id="0"/>
      <w:r>
        <w:rPr>
          <w:b w:val="0"/>
          <w:i w:val="0"/>
          <w:szCs w:val="24"/>
        </w:rPr>
        <w:t xml:space="preserve"> отмечается в журнале. Оправданием пропуска занятия могут быть только болезнь и уважительные причины. Каждый пропуск, не подтвержденный медицинской справкой, будет уменьшать оценку студента на 1 балл Студент, пропустивший занятие по уважительной причине, обязан самостоятельно подготовиться по теме пропущенного занятия и подтвердить эти знания в беседе с преподавателем. После пяти пропусков студент не будет допущен преподавателем  к дальнейшим занятиям. Студенты, не уделяющие должного внимания работе в аудитории (постоянно разговаривают, готовятся к другим занятиям, опаздывают более чем на 10 минут после начала занятия и т.п.) будут рассматриваться как отсутствующие на этом занятии. Студентам, у которых посещаемость составляет  100% , итоговая оценка может быть повышена на 5 баллов. В случае пропуска более 5 заня</w:t>
      </w:r>
      <w:r>
        <w:rPr>
          <w:szCs w:val="24"/>
        </w:rPr>
        <w:t>тий без  уважительной причины студент получает</w:t>
      </w:r>
      <w:r>
        <w:rPr>
          <w:b w:val="0"/>
          <w:i w:val="0"/>
          <w:szCs w:val="24"/>
        </w:rPr>
        <w:t xml:space="preserve"> оценку «2». Промежуточный и итоговый контроль предполагают подготовку письменного ответа на вопросы по ранее изученным темам. При проведении тестов не разрешается пользоваться конспектами, рабочими бумагами или другими материалами, кроме документов, разрешенных преподавателем. В случае</w:t>
      </w:r>
      <w:proofErr w:type="gramStart"/>
      <w:r>
        <w:rPr>
          <w:b w:val="0"/>
          <w:i w:val="0"/>
          <w:szCs w:val="24"/>
        </w:rPr>
        <w:t>,</w:t>
      </w:r>
      <w:proofErr w:type="gramEnd"/>
      <w:r>
        <w:rPr>
          <w:b w:val="0"/>
          <w:i w:val="0"/>
          <w:szCs w:val="24"/>
        </w:rPr>
        <w:t xml:space="preserve"> если студент пользуется не разрешенными материалами, то работа аннулируется и оценка за данный тест не выставляется.  Нарушение установленного порядка проведения письменных работ предполагает 0 баллов. </w:t>
      </w:r>
    </w:p>
    <w:p w:rsidR="00B24EE9" w:rsidRDefault="00B24EE9" w:rsidP="00B24EE9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Списывание, то есть использование  и передача информации любым путем с целью оказания мнимой помощи себе или кому-то другому при выполнении академической работы, является академической нечестностью. В случае выявления списывания студент получает оценку «2» по данному курсу.</w:t>
      </w:r>
    </w:p>
    <w:p w:rsidR="00B24EE9" w:rsidRDefault="00B24EE9" w:rsidP="00B24EE9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  <w:t>Самостоятельная работа</w:t>
      </w:r>
    </w:p>
    <w:p w:rsidR="00B24EE9" w:rsidRDefault="00B24EE9" w:rsidP="00B24EE9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При изучении курса студент обязан выполнить самостоятельную письменную работу, которая будет оцениваться отдельно. Студент будут иметь возможность консультироваться по работам, выполняемым самостоятельно в установленные для консультаций дни. </w:t>
      </w:r>
    </w:p>
    <w:p w:rsidR="00B24EE9" w:rsidRDefault="00B24EE9" w:rsidP="00B24EE9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E9" w:rsidRDefault="00B24EE9" w:rsidP="00B24EE9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</w:p>
    <w:p w:rsidR="00B24EE9" w:rsidRDefault="00B24EE9" w:rsidP="00B24EE9">
      <w:pPr>
        <w:tabs>
          <w:tab w:val="left" w:pos="284"/>
          <w:tab w:val="left" w:pos="368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лекции;</w:t>
      </w:r>
    </w:p>
    <w:p w:rsidR="00B24EE9" w:rsidRDefault="00B24EE9" w:rsidP="00B24EE9">
      <w:pPr>
        <w:numPr>
          <w:ilvl w:val="0"/>
          <w:numId w:val="1"/>
        </w:numPr>
        <w:tabs>
          <w:tab w:val="left" w:pos="0"/>
          <w:tab w:val="left" w:pos="368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семинары, практические занятия (решение задач)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    самостоятельная работа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Виды учебной деятельности: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посещение лекций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 в группе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участие в дискуссиях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индивидуальные занятия</w:t>
      </w:r>
    </w:p>
    <w:p w:rsidR="00B24EE9" w:rsidRPr="00E773C1" w:rsidRDefault="00B24EE9" w:rsidP="00B24EE9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82289354"/>
      <w:r w:rsidRPr="00E773C1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литературы</w:t>
      </w:r>
      <w:bookmarkEnd w:id="1"/>
    </w:p>
    <w:p w:rsidR="00B24EE9" w:rsidRPr="00E773C1" w:rsidRDefault="00B24EE9" w:rsidP="00B24E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Основная: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Деньги. Кредит. Банки: учебник для вузов  / под ред. Е.Ф.Жукова. – 3 изд. – М.: Юнити – Дана, 2007.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Деньги. Кредит. Банки: учебник для вузов / под ред. О.И.Лаврушина. – 9 изд. – М.: Кнорус, 2010.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Деньги. Кредит. Банки: учебник для вузов / под ред. В.В.Иванова, Б.И.Соколова. – 9 изд. – М.: М.: ТК Велби, изд-во Проспект, 2003.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Бектенова Д.Ч. Финансы и  кредит. Учебник для студентов экономических факультетов. КРСУ. – Б. 2009.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sz w:val="24"/>
          <w:szCs w:val="24"/>
        </w:rPr>
        <w:t>Деньги, кредит, банки: Опорный конспект лекций / Никитин В.М., Юдина И.Н. Барнаул: Изд-во «Азбука», 2004.</w:t>
      </w:r>
    </w:p>
    <w:p w:rsidR="00B24EE9" w:rsidRPr="00E773C1" w:rsidRDefault="00B24EE9" w:rsidP="00B24EE9">
      <w:pPr>
        <w:pStyle w:val="a7"/>
        <w:widowControl/>
        <w:numPr>
          <w:ilvl w:val="0"/>
          <w:numId w:val="5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 xml:space="preserve">Финансы и кредит: учебное пособие / под ред. М.А.Портного. М.: Московский международный институт эконометрики, информатики, финансов и права. 2003. </w:t>
      </w:r>
    </w:p>
    <w:p w:rsidR="00B24EE9" w:rsidRPr="00E773C1" w:rsidRDefault="00B24EE9" w:rsidP="00B24EE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Дополнительная: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Кейнс Дж.М. Трактат о денежной реформе // Кейнс Дж.М. Избранные произведения: пер. с англ. М.: Экономика. 1993. С. 127-130.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Кейнс Дж.М. Общая теория занятости, процента и денег // Кейнс Дж.М. Избранные произведения: пер. с англ. М.: Экономика. 1993. С. 353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Блауг М. Экономическая мысль в ретроспективе</w:t>
      </w:r>
      <w:proofErr w:type="gramStart"/>
      <w:r w:rsidRPr="00E773C1">
        <w:rPr>
          <w:color w:val="000000"/>
          <w:sz w:val="24"/>
          <w:szCs w:val="24"/>
        </w:rPr>
        <w:t xml:space="preserve">.: </w:t>
      </w:r>
      <w:proofErr w:type="gramEnd"/>
      <w:r w:rsidRPr="00E773C1">
        <w:rPr>
          <w:color w:val="000000"/>
          <w:sz w:val="24"/>
          <w:szCs w:val="24"/>
        </w:rPr>
        <w:t xml:space="preserve">пер. с англ. 4-е изд. М., 1994. 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Везерфорд Д. История денег: от песчаника до киберпространства: пер. с англ. М.: Терра – Книжный клуб, 2001.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Шенаев В.Н. Современные и мировые деньги // Бизнес и банки. 2002. №1-2. С. 1.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Маркс К., Энгельс Ф. Соч. Т. 23. С. 180-181.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Смит В. Происхождение центральных банков. М.: Институт национальной модели экономики, 1996. С. 34.</w:t>
      </w:r>
    </w:p>
    <w:p w:rsidR="00B24EE9" w:rsidRPr="00E773C1" w:rsidRDefault="00B24EE9" w:rsidP="00B24EE9">
      <w:pPr>
        <w:pStyle w:val="a7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color w:val="000000"/>
          <w:sz w:val="24"/>
          <w:szCs w:val="24"/>
        </w:rPr>
      </w:pPr>
      <w:r w:rsidRPr="00E773C1">
        <w:rPr>
          <w:color w:val="000000"/>
          <w:sz w:val="24"/>
          <w:szCs w:val="24"/>
        </w:rPr>
        <w:t>Кэмбелл М., Стенли Б. Экономикс: принципы, проблемы и политика. М.: Республика, 1992.</w:t>
      </w:r>
    </w:p>
    <w:p w:rsidR="00B24EE9" w:rsidRPr="00E773C1" w:rsidRDefault="00B24EE9" w:rsidP="00B24EE9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/>
        <w:contextualSpacing w:val="0"/>
        <w:jc w:val="both"/>
        <w:rPr>
          <w:color w:val="000000"/>
          <w:spacing w:val="-4"/>
          <w:sz w:val="24"/>
          <w:szCs w:val="24"/>
        </w:rPr>
      </w:pPr>
      <w:r w:rsidRPr="00E773C1">
        <w:rPr>
          <w:spacing w:val="-11"/>
          <w:sz w:val="24"/>
          <w:szCs w:val="24"/>
        </w:rPr>
        <w:t>Современная банковская практика проведения международных платежей / С.В. Крахмалев, 2008;</w:t>
      </w:r>
    </w:p>
    <w:p w:rsidR="00B24EE9" w:rsidRPr="00E773C1" w:rsidRDefault="00B24EE9" w:rsidP="00B24EE9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/>
        <w:contextualSpacing w:val="0"/>
        <w:jc w:val="both"/>
        <w:rPr>
          <w:spacing w:val="-11"/>
          <w:sz w:val="24"/>
          <w:szCs w:val="24"/>
        </w:rPr>
      </w:pPr>
      <w:r w:rsidRPr="00E773C1">
        <w:rPr>
          <w:spacing w:val="-11"/>
          <w:sz w:val="24"/>
          <w:szCs w:val="24"/>
        </w:rPr>
        <w:t>Банковское дело: кредитная деятельность КБ  / Л.П. Кроливецкая, 2009;</w:t>
      </w:r>
    </w:p>
    <w:p w:rsidR="00B24EE9" w:rsidRPr="00E773C1" w:rsidRDefault="00B24EE9" w:rsidP="00B24EE9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/>
        <w:contextualSpacing w:val="0"/>
        <w:jc w:val="both"/>
        <w:rPr>
          <w:spacing w:val="-11"/>
          <w:sz w:val="24"/>
          <w:szCs w:val="24"/>
        </w:rPr>
      </w:pPr>
      <w:r w:rsidRPr="00E773C1">
        <w:rPr>
          <w:spacing w:val="-11"/>
          <w:sz w:val="24"/>
          <w:szCs w:val="24"/>
        </w:rPr>
        <w:t>Банки и НКО и их операции / под ред. Е.Ф. Жукова 2-е изд., 2009.</w:t>
      </w:r>
    </w:p>
    <w:p w:rsidR="00B24EE9" w:rsidRPr="00E773C1" w:rsidRDefault="00B24EE9" w:rsidP="00B24EE9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/>
        <w:contextualSpacing w:val="0"/>
        <w:jc w:val="both"/>
        <w:rPr>
          <w:color w:val="000000"/>
          <w:spacing w:val="-4"/>
          <w:sz w:val="24"/>
          <w:szCs w:val="24"/>
        </w:rPr>
      </w:pPr>
      <w:r w:rsidRPr="00E773C1">
        <w:rPr>
          <w:color w:val="000000"/>
          <w:spacing w:val="-4"/>
          <w:sz w:val="24"/>
          <w:szCs w:val="24"/>
        </w:rPr>
        <w:t>Банковское дело: учебное пособие. Экспресс-курс под ред. О.И. Лаврушина, 2009;</w:t>
      </w:r>
    </w:p>
    <w:p w:rsidR="00B24EE9" w:rsidRPr="00E773C1" w:rsidRDefault="00B24EE9" w:rsidP="00B24EE9">
      <w:pPr>
        <w:pStyle w:val="a7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/>
        <w:contextualSpacing w:val="0"/>
        <w:jc w:val="both"/>
        <w:rPr>
          <w:color w:val="000000"/>
          <w:spacing w:val="-4"/>
          <w:sz w:val="24"/>
          <w:szCs w:val="24"/>
        </w:rPr>
      </w:pPr>
      <w:r w:rsidRPr="00E773C1">
        <w:rPr>
          <w:color w:val="000000"/>
          <w:spacing w:val="-4"/>
          <w:sz w:val="24"/>
          <w:szCs w:val="24"/>
        </w:rPr>
        <w:t xml:space="preserve">Финансовая статистика: денежная и банковская: учебник / под ред. С.Р. Моисеева – М.: КНОРУС, 2009.   </w:t>
      </w:r>
      <w:bookmarkStart w:id="2" w:name="_Toc182289355"/>
    </w:p>
    <w:p w:rsidR="00B24EE9" w:rsidRPr="00E773C1" w:rsidRDefault="00B24EE9" w:rsidP="00B24EE9">
      <w:pPr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</w:rPr>
        <w:t>Список нормативно-правовых документов</w:t>
      </w:r>
      <w:bookmarkEnd w:id="2"/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hyperlink r:id="rId6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Национальном банке Кыргызской Республики"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7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 "О банках и банковской деятельности в Кыргызской Республике" 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8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"Об операциях в иностранной валюте"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9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консервации, ликвидации и банкротстве банков"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0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хозяйственных товариществах и обществах"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банковской тайне"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2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"Об акционерных обществах"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3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лицензировании"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4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кредитных союзах"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5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микрофинансовых организациях в Кыргызской Республики"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6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"Об электронных платежах"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7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"Об аккредитиве"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8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залоге"</w:t>
        </w:r>
      </w:hyperlink>
    </w:p>
    <w:p w:rsidR="00B24EE9" w:rsidRPr="00E773C1" w:rsidRDefault="00CF2375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hyperlink r:id="rId19" w:tgtFrame="fdata" w:history="1">
        <w:r w:rsidR="00B24EE9" w:rsidRPr="00E773C1">
          <w:rPr>
            <w:rStyle w:val="a3"/>
            <w:rFonts w:ascii="Times New Roman" w:hAnsi="Times New Roman" w:cs="Times New Roman"/>
            <w:sz w:val="24"/>
            <w:szCs w:val="24"/>
          </w:rPr>
          <w:t>Закон "О противодействии финансированию терроризма"</w:t>
        </w:r>
      </w:hyperlink>
    </w:p>
    <w:p w:rsidR="00B24EE9" w:rsidRPr="00E773C1" w:rsidRDefault="00B24EE9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3C1">
        <w:rPr>
          <w:rFonts w:ascii="Times New Roman" w:hAnsi="Times New Roman" w:cs="Times New Roman"/>
          <w:sz w:val="24"/>
          <w:szCs w:val="24"/>
        </w:rPr>
        <w:t>Положение об Агентстве защиты депозитов при Министерстве финансов Кыргызской Республики</w:t>
      </w:r>
    </w:p>
    <w:p w:rsidR="00B24EE9" w:rsidRPr="00E773C1" w:rsidRDefault="00B24EE9" w:rsidP="00B2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73C1">
        <w:rPr>
          <w:rFonts w:ascii="Times New Roman" w:hAnsi="Times New Roman" w:cs="Times New Roman"/>
          <w:sz w:val="24"/>
          <w:szCs w:val="24"/>
        </w:rPr>
        <w:t xml:space="preserve"> </w:t>
      </w:r>
      <w:r w:rsidRPr="00E7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3C1">
        <w:rPr>
          <w:rFonts w:ascii="Times New Roman" w:hAnsi="Times New Roman" w:cs="Times New Roman"/>
          <w:sz w:val="24"/>
          <w:szCs w:val="24"/>
        </w:rPr>
        <w:t>Положение об экономических нормативах и требованиях, обязательных для выполнения коммерческими банками Кыргызской Республики</w:t>
      </w:r>
    </w:p>
    <w:p w:rsidR="00B24EE9" w:rsidRPr="00E773C1" w:rsidRDefault="00B24EE9" w:rsidP="00B24EE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3C1">
        <w:rPr>
          <w:rFonts w:ascii="Times New Roman" w:hAnsi="Times New Roman" w:cs="Times New Roman"/>
          <w:sz w:val="24"/>
          <w:szCs w:val="24"/>
        </w:rPr>
        <w:t>Положение о безналичных расчетах в КР</w:t>
      </w:r>
    </w:p>
    <w:p w:rsidR="00B24EE9" w:rsidRDefault="00B24EE9" w:rsidP="00B24EE9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методы оценки: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Промежуточный контроль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успеваемости студентов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осуществляется по каждому дисциплинарному модулю дисциплины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сроки, установленные графиком учебного процесса. Количество модулей зависит от количества кредитов по данной дисциплине: 2 кредита – 1 модуль, 5 кредита – 2 модуля. При промежуточном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контроле преподавателем выставляется промежуточная рейтинговая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оценка, представляющая собой сумму рейтинговых баллов, полученных студентом при изучении дисциплинарного модуля на всех видах занятий.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Форма проведения промежуточного контроля по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модулю — 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письменное тестирование.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Максимум баллов по промежуточному контролю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модуля - 50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баллов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Форма проведения промежуточного контроля по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 модулю письменное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тестирование. 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Максимум баллов по промежуточному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модуля - 50 баллов.</w:t>
      </w: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843"/>
      </w:tblGrid>
      <w:tr w:rsidR="00B24EE9" w:rsidTr="001435EE">
        <w:trPr>
          <w:trHeight w:hRule="exact" w:val="28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 баллов</w:t>
            </w:r>
          </w:p>
        </w:tc>
      </w:tr>
      <w:tr w:rsidR="00B24EE9" w:rsidTr="001435EE">
        <w:trPr>
          <w:trHeight w:hRule="exact" w:val="28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Сумма баллов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модулю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0-50</w:t>
            </w:r>
          </w:p>
        </w:tc>
      </w:tr>
      <w:tr w:rsidR="00B24EE9" w:rsidTr="001435EE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Сумма баллов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модулю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0-50</w:t>
            </w:r>
          </w:p>
        </w:tc>
      </w:tr>
    </w:tbl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24EE9" w:rsidRDefault="00B24EE9" w:rsidP="00B24E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Итоговый контроль успеваемости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сдачу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и выставление итоговой рейтинговой оценки. В случае недобора баллов по промежуточному контролю в сумму итоговой рейтинговой оценки могут быть включены баллы за выполненные работы творческого характера (СРС).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843"/>
      </w:tblGrid>
      <w:tr w:rsidR="00B24EE9" w:rsidTr="001435EE">
        <w:trPr>
          <w:trHeight w:hRule="exact" w:val="29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 баллов</w:t>
            </w:r>
          </w:p>
        </w:tc>
      </w:tr>
      <w:tr w:rsidR="00B24EE9" w:rsidTr="001435EE">
        <w:trPr>
          <w:trHeight w:hRule="exact" w:val="27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Сдача экзамена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0-100</w:t>
            </w:r>
          </w:p>
        </w:tc>
      </w:tr>
      <w:tr w:rsidR="00B24EE9" w:rsidTr="001435EE">
        <w:trPr>
          <w:trHeight w:hRule="exact" w:val="87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E9" w:rsidRDefault="00B24EE9" w:rsidP="001435EE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Всего: Среднеарифметическая сумма баллов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промежуточному</w:t>
            </w:r>
            <w:proofErr w:type="gramEnd"/>
          </w:p>
          <w:p w:rsidR="00B24EE9" w:rsidRDefault="00B24EE9" w:rsidP="001435EE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итоговому (экзамену)  контролям</w:t>
            </w:r>
          </w:p>
          <w:p w:rsidR="00B24EE9" w:rsidRDefault="00B24EE9" w:rsidP="001435EE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EE9" w:rsidRDefault="00B24EE9" w:rsidP="001435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0-100</w:t>
            </w:r>
          </w:p>
        </w:tc>
      </w:tr>
    </w:tbl>
    <w:p w:rsidR="00B24EE9" w:rsidRDefault="00B24EE9" w:rsidP="00B24EE9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EE9" w:rsidRDefault="00B24EE9" w:rsidP="00B24EE9">
      <w:pPr>
        <w:pStyle w:val="a4"/>
        <w:shd w:val="clear" w:color="auto" w:fill="FFFFFF"/>
        <w:spacing w:before="0" w:beforeAutospacing="0" w:after="0" w:afterAutospacing="0"/>
        <w:jc w:val="both"/>
      </w:pPr>
    </w:p>
    <w:p w:rsidR="00B24EE9" w:rsidRDefault="00B24EE9" w:rsidP="00B24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24EE9" w:rsidSect="00C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4F88"/>
    <w:multiLevelType w:val="hybridMultilevel"/>
    <w:tmpl w:val="6CA8071C"/>
    <w:lvl w:ilvl="0" w:tplc="B844972E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0F98"/>
    <w:multiLevelType w:val="hybridMultilevel"/>
    <w:tmpl w:val="3D86A572"/>
    <w:lvl w:ilvl="0" w:tplc="4D1223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17564"/>
    <w:multiLevelType w:val="multilevel"/>
    <w:tmpl w:val="8F486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D405E"/>
    <w:multiLevelType w:val="hybridMultilevel"/>
    <w:tmpl w:val="2F3EB6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160" w:hanging="360"/>
      </w:pPr>
    </w:lvl>
    <w:lvl w:ilvl="2" w:tplc="0440001B" w:tentative="1">
      <w:start w:val="1"/>
      <w:numFmt w:val="lowerRoman"/>
      <w:lvlText w:val="%3."/>
      <w:lvlJc w:val="right"/>
      <w:pPr>
        <w:ind w:left="2880" w:hanging="180"/>
      </w:pPr>
    </w:lvl>
    <w:lvl w:ilvl="3" w:tplc="0440000F" w:tentative="1">
      <w:start w:val="1"/>
      <w:numFmt w:val="decimal"/>
      <w:lvlText w:val="%4."/>
      <w:lvlJc w:val="left"/>
      <w:pPr>
        <w:ind w:left="3600" w:hanging="360"/>
      </w:pPr>
    </w:lvl>
    <w:lvl w:ilvl="4" w:tplc="04400019" w:tentative="1">
      <w:start w:val="1"/>
      <w:numFmt w:val="lowerLetter"/>
      <w:lvlText w:val="%5."/>
      <w:lvlJc w:val="left"/>
      <w:pPr>
        <w:ind w:left="4320" w:hanging="360"/>
      </w:pPr>
    </w:lvl>
    <w:lvl w:ilvl="5" w:tplc="0440001B" w:tentative="1">
      <w:start w:val="1"/>
      <w:numFmt w:val="lowerRoman"/>
      <w:lvlText w:val="%6."/>
      <w:lvlJc w:val="right"/>
      <w:pPr>
        <w:ind w:left="5040" w:hanging="180"/>
      </w:pPr>
    </w:lvl>
    <w:lvl w:ilvl="6" w:tplc="0440000F" w:tentative="1">
      <w:start w:val="1"/>
      <w:numFmt w:val="decimal"/>
      <w:lvlText w:val="%7."/>
      <w:lvlJc w:val="left"/>
      <w:pPr>
        <w:ind w:left="5760" w:hanging="360"/>
      </w:pPr>
    </w:lvl>
    <w:lvl w:ilvl="7" w:tplc="04400019" w:tentative="1">
      <w:start w:val="1"/>
      <w:numFmt w:val="lowerLetter"/>
      <w:lvlText w:val="%8."/>
      <w:lvlJc w:val="left"/>
      <w:pPr>
        <w:ind w:left="6480" w:hanging="360"/>
      </w:pPr>
    </w:lvl>
    <w:lvl w:ilvl="8" w:tplc="044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35F87"/>
    <w:multiLevelType w:val="hybridMultilevel"/>
    <w:tmpl w:val="9908778A"/>
    <w:lvl w:ilvl="0" w:tplc="8788F3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1786464"/>
    <w:multiLevelType w:val="hybridMultilevel"/>
    <w:tmpl w:val="A67C691C"/>
    <w:lvl w:ilvl="0" w:tplc="A4ACE87C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171827"/>
    <w:multiLevelType w:val="hybridMultilevel"/>
    <w:tmpl w:val="1FE020AA"/>
    <w:lvl w:ilvl="0" w:tplc="48B475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627DD"/>
    <w:multiLevelType w:val="singleLevel"/>
    <w:tmpl w:val="5150F7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93D61BF"/>
    <w:multiLevelType w:val="hybridMultilevel"/>
    <w:tmpl w:val="3FC4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4EE9"/>
    <w:rsid w:val="0008414A"/>
    <w:rsid w:val="000E2831"/>
    <w:rsid w:val="00114441"/>
    <w:rsid w:val="001E0806"/>
    <w:rsid w:val="00354306"/>
    <w:rsid w:val="0047582C"/>
    <w:rsid w:val="00575DB3"/>
    <w:rsid w:val="00580B9E"/>
    <w:rsid w:val="0080087E"/>
    <w:rsid w:val="008F054E"/>
    <w:rsid w:val="00AD258F"/>
    <w:rsid w:val="00B24EE9"/>
    <w:rsid w:val="00B9416E"/>
    <w:rsid w:val="00BB0B45"/>
    <w:rsid w:val="00C54801"/>
    <w:rsid w:val="00CF2375"/>
    <w:rsid w:val="00E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E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24EE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4EE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7">
    <w:name w:val="List Paragraph"/>
    <w:basedOn w:val="a"/>
    <w:uiPriority w:val="99"/>
    <w:qFormat/>
    <w:rsid w:val="00B24E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B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24E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kr.kg/web/interfeis.outmenu?id=141&amp;direct=1&amp;lang=RUS" TargetMode="External"/><Relationship Id="rId13" Type="http://schemas.openxmlformats.org/officeDocument/2006/relationships/hyperlink" Target="http://www.nbkr.kg/web/interfeis.outmenu?id=595&amp;direct=1&amp;lang=RUS&amp;mr=%20interfeis.outdata?shn=A24_4" TargetMode="External"/><Relationship Id="rId18" Type="http://schemas.openxmlformats.org/officeDocument/2006/relationships/hyperlink" Target="http://www.nbkr.kg/web/interfeis.outmenu?id=623&amp;direct=1&amp;lang=RUS&amp;mr=interfeis.outdata?shn=A25_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bkr.kg/web/interfeis.outmenu?id=61&amp;direct=1&amp;lang=RUS&amp;mr=interfeis.outdata?shn=A22_8" TargetMode="External"/><Relationship Id="rId12" Type="http://schemas.openxmlformats.org/officeDocument/2006/relationships/hyperlink" Target="http://www.nbkr.kg/web/interfeis.outmenu?id=592&amp;direct=1&amp;lang=RUS&amp;mr=interfeis.outdata?shn=A24_3" TargetMode="External"/><Relationship Id="rId17" Type="http://schemas.openxmlformats.org/officeDocument/2006/relationships/hyperlink" Target="http://www.nbkr.kg/web/interfeis.outmenu?id=622&amp;direct=1&amp;lang=RUS&amp;mr=interfeis.outdata?shn=A25_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kr.kg/web/interfeis.outmenu?id=620&amp;direct=1&amp;lang=RUS&amp;mr=interfeis.outdata?shn=A25_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kr.kg/web/interfeis.outmenu?id=60&amp;direct=1&amp;lang=RUS" TargetMode="External"/><Relationship Id="rId11" Type="http://schemas.openxmlformats.org/officeDocument/2006/relationships/hyperlink" Target="http://www.nbkr.kg/web/interfeis.outmenu?id=591&amp;direct=1&amp;lang=RUS&amp;mr=interfeis.outdata?shn=A24_2" TargetMode="External"/><Relationship Id="rId5" Type="http://schemas.openxmlformats.org/officeDocument/2006/relationships/hyperlink" Target="mailto:abykeeva_meerim@mail.ru" TargetMode="External"/><Relationship Id="rId15" Type="http://schemas.openxmlformats.org/officeDocument/2006/relationships/hyperlink" Target="http://www.nbkr.kg/web/interfeis.outmenu?id=619&amp;direct=1&amp;lang=RUS&amp;mr=interfeis.outdata?shn=A25_2" TargetMode="External"/><Relationship Id="rId10" Type="http://schemas.openxmlformats.org/officeDocument/2006/relationships/hyperlink" Target="http://www.nbkr.kg/web/interfeis.outmenu?id=590&amp;direct=1&amp;lang=RUS&amp;mr=interfeis.outdata?shn=A22_9" TargetMode="External"/><Relationship Id="rId19" Type="http://schemas.openxmlformats.org/officeDocument/2006/relationships/hyperlink" Target="http://www.nbkr.kg/web/interfeis.outmenu?id=805&amp;direct=1&amp;lang=RUS&amp;mr=interfeis.outdata?shn=A25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kr.kg/web/interfeis.outmenu?id=575&amp;direct=1&amp;lang=RUS&amp;mr=interfeis.outdata?shn=A24_1" TargetMode="External"/><Relationship Id="rId14" Type="http://schemas.openxmlformats.org/officeDocument/2006/relationships/hyperlink" Target="http://www.nbkr.kg/web/interfeis.outmenu?id=618&amp;direct=1&amp;lang=RUS&amp;mr=interfeis.outdata?shn=A25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2016-06-30T19:31:00Z</dcterms:created>
  <dcterms:modified xsi:type="dcterms:W3CDTF">2016-06-30T19:31:00Z</dcterms:modified>
</cp:coreProperties>
</file>